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昌吉州生态环境局木垒县分局</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贯彻执行国家、区、州、县环境保护政策、法律法规、规划及有关决策部署，牵头承担木垒县环境保护委员会职责，拟订并组织实施自治县环境保护规划，起草环境保护单行条例；组织编制环境功能区划、生态功能区划；组织拟订重要饮用水水源地、禁燃区、重点区域、流域及专项污染防治规划并监督实施，大力推进生态文明建设。组织协调重大环境污染事故和生态破坏事件的调查处理，指导协调重大突发环境事件的应急、预警工作；协调解决环境污染纠纷，统筹协调自治县流域、区域污染防治工作。</w:t>
      </w:r>
    </w:p>
    <w:p>
      <w:pPr>
        <w:ind w:firstLine="640" w:firstLineChars="200"/>
        <w:rPr>
          <w:rFonts w:ascii="仿宋_GB2312" w:eastAsia="仿宋_GB2312"/>
          <w:sz w:val="32"/>
          <w:szCs w:val="32"/>
        </w:rPr>
      </w:pPr>
      <w:r>
        <w:rPr>
          <w:rFonts w:hint="eastAsia" w:ascii="仿宋_GB2312" w:eastAsia="仿宋_GB2312"/>
          <w:sz w:val="32"/>
          <w:szCs w:val="32"/>
        </w:rPr>
        <w:t>执行国家主要污染物排放总量控制和排污许可证制度，按照自治区减排目标制定自治县总量控制计划并组织实施，督查、督办、核查各县市污染物减排任务完成情况；实施环 境保护目标责任制，维护环境安全。组织实施自治县规划与建设项目环境影响评价、环保 “三同时”等环境管理制度；对自治县涉及环境保护的条例草案提出有关环境保护方面的意见；按照国家和自治区规定审批建设项目环境影响评价文件。完成自治县党委、自治县人民政府交办的其他任务。</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昌吉州生态环境局木垒县分局2023年度，实有人数16人，其中：在职人员9人，离休人员0人，退休人员7人。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单位无下属预算单位，下设3个处室，分别是：党政办、生态与应急办、综合业务办。</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2023年度收入总计1,297.76万元，其中：本年收入合计1,297.76万元，使用非财政拨款结余0.00万元，年初结转和结余0.00万元。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2023年度支出总计1,297.76万元，其中：本年支出合计1,297.76万元，结余分配0.00万元，年末结转和结余0.00万元。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增加605.26万元</w:t>
      </w:r>
      <w:r>
        <w:rPr>
          <w:rFonts w:hint="eastAsia" w:ascii="仿宋_GB2312" w:eastAsia="仿宋_GB2312"/>
          <w:sz w:val="32"/>
          <w:szCs w:val="32"/>
        </w:rPr>
        <w:t>，增长87.40%，主要原因是：2023年中央大气污染防治资金增加。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本年收入1,297.76万元，其中：财政拨款收入</w:t>
      </w:r>
      <w:r>
        <w:rPr>
          <w:rFonts w:hint="eastAsia" w:ascii="仿宋_GB2312" w:eastAsia="仿宋_GB2312"/>
          <w:sz w:val="32"/>
          <w:szCs w:val="32"/>
          <w:lang w:val="zh-CN"/>
        </w:rPr>
        <w:t>1,297.76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本年支出1,297.76万元，其中：基本支出163.63万元，占12.61%；项目支出1,134.13万元，占87.39%；上缴上级支出0.00万元，占0.00%；经营支出0.00万元，占0.00%；对附属单位补助支出0.00万元，占0.00%。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财政拨款收入总计1,297.76万元，其中：年初财政拨款结转和结余0.00万元，本年财政拨款收入1,297.76万元。财政拨款支出总计1,297.76万元，其中：年末财政拨款结转和结余0.00万元，本年财政拨款支出1,297.76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605.26万元，增长87.40%,主要原因是：2023年中央大气污染防治资金增加。与年初预算相比，年初预算数161.09万元，决算数1,297.76万元，预决算差异率705.61%，主要原因是：单位年中追加补缴公务员绩效奖、以前年度职业年金缴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2023年度一般公共预算财政拨款支出1,297.76万元，占本年支出合计的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增加605.26万元</w:t>
      </w:r>
      <w:r>
        <w:rPr>
          <w:rFonts w:hint="eastAsia" w:ascii="仿宋_GB2312" w:eastAsia="仿宋_GB2312"/>
          <w:sz w:val="32"/>
          <w:szCs w:val="32"/>
        </w:rPr>
        <w:t>，增长87.40%,主要原因是：2023年中央大气污染防治资金增加。与年初预算相比，年初预算数</w:t>
      </w:r>
      <w:r>
        <w:rPr>
          <w:rFonts w:hint="eastAsia" w:ascii="仿宋_GB2312" w:eastAsia="仿宋_GB2312"/>
          <w:sz w:val="32"/>
          <w:szCs w:val="32"/>
          <w:lang w:val="zh-CN"/>
        </w:rPr>
        <w:t>161.09</w:t>
      </w:r>
      <w:r>
        <w:rPr>
          <w:rFonts w:hint="eastAsia" w:ascii="仿宋_GB2312" w:eastAsia="仿宋_GB2312"/>
          <w:sz w:val="32"/>
          <w:szCs w:val="32"/>
        </w:rPr>
        <w:t>万元，决算数</w:t>
      </w:r>
      <w:r>
        <w:rPr>
          <w:rFonts w:hint="eastAsia" w:ascii="仿宋_GB2312" w:eastAsia="仿宋_GB2312"/>
          <w:sz w:val="32"/>
          <w:szCs w:val="32"/>
          <w:lang w:val="zh-CN"/>
        </w:rPr>
        <w:t>1,297.76</w:t>
      </w:r>
      <w:r>
        <w:rPr>
          <w:rFonts w:hint="eastAsia" w:ascii="仿宋_GB2312" w:eastAsia="仿宋_GB2312"/>
          <w:sz w:val="32"/>
          <w:szCs w:val="32"/>
        </w:rPr>
        <w:t>万元，预决算差异率</w:t>
      </w:r>
      <w:r>
        <w:rPr>
          <w:rFonts w:hint="eastAsia" w:ascii="仿宋_GB2312" w:eastAsia="仿宋_GB2312"/>
          <w:sz w:val="32"/>
          <w:szCs w:val="32"/>
          <w:lang w:val="zh-CN"/>
        </w:rPr>
        <w:t>705.61%</w:t>
      </w:r>
      <w:r>
        <w:rPr>
          <w:rFonts w:hint="eastAsia" w:ascii="仿宋_GB2312" w:eastAsia="仿宋_GB2312"/>
          <w:sz w:val="32"/>
          <w:szCs w:val="32"/>
        </w:rPr>
        <w:t>，主要原因是：单位年中追加补缴公务员绩效奖、以前年度职业年金缴费。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28.59</w:t>
      </w:r>
      <w:r>
        <w:rPr>
          <w:rFonts w:ascii="仿宋_GB2312" w:eastAsia="仿宋_GB2312"/>
          <w:kern w:val="2"/>
          <w:sz w:val="32"/>
          <w:szCs w:val="32"/>
          <w:lang w:val="zh-CN"/>
        </w:rPr>
        <w:t>万元，占</w:t>
      </w:r>
      <w:r>
        <w:rPr>
          <w:rFonts w:hint="eastAsia" w:ascii="仿宋_GB2312" w:eastAsia="仿宋_GB2312"/>
          <w:kern w:val="2"/>
          <w:sz w:val="32"/>
          <w:szCs w:val="32"/>
          <w:lang w:val="zh-CN"/>
        </w:rPr>
        <w:t>2.20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.节能环保支出（类）</w:t>
      </w:r>
      <w:r>
        <w:rPr>
          <w:rFonts w:hint="eastAsia" w:ascii="仿宋_GB2312" w:eastAsia="仿宋_GB2312"/>
          <w:kern w:val="2"/>
          <w:sz w:val="32"/>
          <w:szCs w:val="32"/>
          <w:lang w:val="zh-CN"/>
        </w:rPr>
        <w:t>1,251.43</w:t>
      </w:r>
      <w:r>
        <w:rPr>
          <w:rFonts w:ascii="仿宋_GB2312" w:eastAsia="仿宋_GB2312"/>
          <w:kern w:val="2"/>
          <w:sz w:val="32"/>
          <w:szCs w:val="32"/>
          <w:lang w:val="zh-CN"/>
        </w:rPr>
        <w:t>万元，占</w:t>
      </w:r>
      <w:r>
        <w:rPr>
          <w:rFonts w:hint="eastAsia" w:ascii="仿宋_GB2312" w:eastAsia="仿宋_GB2312"/>
          <w:kern w:val="2"/>
          <w:sz w:val="32"/>
          <w:szCs w:val="32"/>
          <w:lang w:val="zh-CN"/>
        </w:rPr>
        <w:t>96.43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10.65</w:t>
      </w:r>
      <w:r>
        <w:rPr>
          <w:rFonts w:ascii="仿宋_GB2312" w:eastAsia="仿宋_GB2312"/>
          <w:kern w:val="2"/>
          <w:sz w:val="32"/>
          <w:szCs w:val="32"/>
          <w:lang w:val="zh-CN"/>
        </w:rPr>
        <w:t>万元，占</w:t>
      </w:r>
      <w:r>
        <w:rPr>
          <w:rFonts w:hint="eastAsia" w:ascii="仿宋_GB2312" w:eastAsia="仿宋_GB2312"/>
          <w:kern w:val="2"/>
          <w:sz w:val="32"/>
          <w:szCs w:val="32"/>
          <w:lang w:val="zh-CN"/>
        </w:rPr>
        <w:t>0.82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7.09</w:t>
      </w:r>
      <w:r>
        <w:rPr>
          <w:rFonts w:ascii="仿宋_GB2312" w:eastAsia="仿宋_GB2312"/>
          <w:kern w:val="2"/>
          <w:sz w:val="32"/>
          <w:szCs w:val="32"/>
          <w:lang w:val="zh-CN"/>
        </w:rPr>
        <w:t>万元，占</w:t>
      </w:r>
      <w:r>
        <w:rPr>
          <w:rFonts w:hint="eastAsia" w:ascii="仿宋_GB2312" w:eastAsia="仿宋_GB2312"/>
          <w:kern w:val="2"/>
          <w:sz w:val="32"/>
          <w:szCs w:val="32"/>
          <w:lang w:val="zh-CN"/>
        </w:rPr>
        <w:t>0.55</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1.住房保障支出（类）住房改革支出（款）住房公积金（项）:支出决算数为10.65万元，比上年决算减少7.95万元，下降42.74%，主要原因是：本年单位人员减少，住房公积金减少。</w:t>
      </w:r>
    </w:p>
    <w:p>
      <w:pPr>
        <w:ind w:firstLine="640" w:firstLineChars="200"/>
        <w:jc w:val="left"/>
        <w:rPr>
          <w:rFonts w:ascii="仿宋_GB2312" w:eastAsia="仿宋_GB2312"/>
          <w:sz w:val="32"/>
          <w:szCs w:val="32"/>
        </w:rPr>
      </w:pPr>
      <w:r>
        <w:rPr>
          <w:rFonts w:hint="eastAsia" w:ascii="仿宋_GB2312" w:eastAsia="仿宋_GB2312"/>
          <w:sz w:val="32"/>
          <w:szCs w:val="32"/>
        </w:rPr>
        <w:t>2.节能环保支出（类）污染防治（款）大气（项）:支出决算数为982.80万元，比上年决算增加982.80万元，增长100%，主要原因是：单位新增2023年中央大气污染防治资金。</w:t>
      </w:r>
    </w:p>
    <w:p>
      <w:pPr>
        <w:ind w:firstLine="640" w:firstLineChars="200"/>
        <w:jc w:val="left"/>
        <w:rPr>
          <w:rFonts w:ascii="仿宋_GB2312" w:eastAsia="仿宋_GB2312"/>
          <w:sz w:val="32"/>
          <w:szCs w:val="32"/>
        </w:rPr>
      </w:pPr>
      <w:r>
        <w:rPr>
          <w:rFonts w:hint="eastAsia" w:ascii="仿宋_GB2312" w:eastAsia="仿宋_GB2312"/>
          <w:sz w:val="32"/>
          <w:szCs w:val="32"/>
        </w:rPr>
        <w:t>3.节能环保支出（类）环境保护管理事务（款）行政运行（项）:支出决算数为124.39万元，比上年决算减少95.52万元，下降43.44%，主要原因是：单位人员减少，相应减少人员薪资、津贴补贴、奖金等。</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4.社会保障和就业支出（类）行政事业单位养老支出（款）行政单位离退休（项）:支出决算数为2.42万元，比上年决算增加1.10万元，增长82.74%，主要原因是：单位本年退休人员交通补助、取暖费增加。</w:t>
      </w:r>
    </w:p>
    <w:p>
      <w:pPr>
        <w:ind w:firstLine="640" w:firstLineChars="200"/>
        <w:jc w:val="left"/>
        <w:rPr>
          <w:rFonts w:ascii="仿宋_GB2312" w:eastAsia="仿宋_GB2312"/>
          <w:sz w:val="32"/>
          <w:szCs w:val="32"/>
        </w:rPr>
      </w:pPr>
      <w:r>
        <w:rPr>
          <w:rFonts w:hint="eastAsia" w:ascii="仿宋_GB2312" w:eastAsia="仿宋_GB2312"/>
          <w:sz w:val="32"/>
          <w:szCs w:val="32"/>
        </w:rPr>
        <w:t>5.节能环保支出（类）环境保护管理事务（款）其他环境保护管理事务支出（项）:支出决算数为144.24万元，比上年决算减少248.11万元，下降63.24%，主要原因是：单位本年环保及节能减排专项经费减少。</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6.社会保障和就业支出（类）行政事业单位养老支出（款）机关事业单位职业年金缴费支出（项）:支出决算数为12.22万元，比上年决算增加0.88万元，增长7.75%，主要原因是：单位补缴以前年度职业年金缴费。</w:t>
      </w:r>
    </w:p>
    <w:p>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7.其他支出（类）其他支出（款）其他支出（项）:支出决算数为7.09万元，比上年决算减少4.80万元，下降40.41%，主要原因是：单位2023年度驻村工作工作队经费减少。</w:t>
      </w:r>
    </w:p>
    <w:p>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13.95万元，比上年决算减少10.28万元，下降42.42%，主要原因是：单位人员减少，养老保险缴费减少。</w:t>
      </w:r>
    </w:p>
    <w:p>
      <w:pPr>
        <w:ind w:firstLine="640" w:firstLineChars="200"/>
        <w:jc w:val="left"/>
        <w:rPr>
          <w:rFonts w:ascii="仿宋_GB2312" w:eastAsia="仿宋_GB2312"/>
          <w:sz w:val="32"/>
          <w:szCs w:val="32"/>
        </w:rPr>
      </w:pPr>
      <w:r>
        <w:rPr>
          <w:rFonts w:hint="eastAsia" w:ascii="仿宋_GB2312" w:eastAsia="仿宋_GB2312"/>
          <w:sz w:val="32"/>
          <w:szCs w:val="32"/>
        </w:rPr>
        <w:t>9.节能环保支出（类）其他节能环保支出（款）其他节能环保支出（项）:支出决算数为0.00万元，比上年决算减少12.87万元，下降100%，主要原因是：单位本年无此项经费。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163.63万元，其中：人员经费158.84万元，包括：基本工资、津贴补贴、奖金、机关事业单位基本养老保险缴费、职业年金缴费、职工基本医疗保险缴费、公务员医疗补助缴费、其他社会保障缴费、住房公积金、退休费、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公用经费4.79万元，包括：办公费、水费、取暖费、差旅费、维修（护）费、劳务费、公务用车运行维护费</w:t>
      </w:r>
      <w:r>
        <w:rPr>
          <w:rFonts w:hint="eastAsia" w:ascii="仿宋_GB2312" w:hAnsi="宋体" w:eastAsia="仿宋_GB2312" w:cs="宋体"/>
          <w:kern w:val="0"/>
          <w:sz w:val="32"/>
          <w:szCs w:val="32"/>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“三公”经费支出1.02万元，</w:t>
      </w:r>
      <w:r>
        <w:rPr>
          <w:rFonts w:hint="eastAsia" w:ascii="仿宋_GB2312" w:eastAsia="仿宋_GB2312"/>
          <w:sz w:val="32"/>
          <w:szCs w:val="32"/>
        </w:rPr>
        <w:t>比上年</w:t>
      </w:r>
      <w:r>
        <w:rPr>
          <w:rFonts w:hint="eastAsia" w:ascii="仿宋_GB2312" w:eastAsia="仿宋_GB2312"/>
          <w:sz w:val="32"/>
          <w:szCs w:val="32"/>
          <w:lang w:val="zh-CN"/>
        </w:rPr>
        <w:t>减少0.38万元，</w:t>
      </w:r>
      <w:r>
        <w:rPr>
          <w:rFonts w:hint="eastAsia" w:ascii="仿宋_GB2312" w:eastAsia="仿宋_GB2312"/>
          <w:sz w:val="32"/>
          <w:szCs w:val="32"/>
        </w:rPr>
        <w:t>下降27.14%,</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主要原因是：单位本年无此项经费；公务用车购置及运行维护费支出1.02万元，占100.00%，比上年减少0.38万元，</w:t>
      </w:r>
      <w:r>
        <w:rPr>
          <w:rFonts w:hint="eastAsia" w:ascii="仿宋_GB2312" w:eastAsia="仿宋_GB2312"/>
          <w:sz w:val="32"/>
          <w:szCs w:val="32"/>
        </w:rPr>
        <w:t>下降27.14%,</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原因是：对比无差异。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2023年度昌吉州生态环境局木垒县分局（行政单位和参照公务员法管理事业单位）机关运行经费支出4.79万元，比上年减少6.63万元，下降58.06%，主要原因是：办公费、水费、取暖费、差旅费、维修（护）费减少。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2023年度政府采购支出总额17.14万元，其中：政府采购货物支出7.17万元、政府采购工程支出0.00万元、政府采购服务支出9.97万元。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授予中小企业合同金额17.14万元，占政府采购支出总额的100.00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，其中：授予小微企业合同金额16.14万元，占政府采购支出总额的94.17%。</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500.93万元，房屋1,752.82平方米，价值365.22万元。车辆1辆，价值17.78万元，其中：副部（省）级及以上领导用车0辆、主要负责人用车0辆、机要通信用车0辆、应急保障用车0辆、执法执勤用车0辆、特种专业技术用车1辆、离退休干部服务用车0辆、其他用车0辆，其他用车主要是：单位无其他车辆；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1,297.76</w:t>
      </w:r>
      <w:r>
        <w:rPr>
          <w:rFonts w:hint="eastAsia" w:ascii="仿宋_GB2312" w:eastAsia="仿宋_GB2312"/>
          <w:sz w:val="32"/>
          <w:szCs w:val="32"/>
        </w:rPr>
        <w:t>万元，实际执行总额</w:t>
      </w:r>
      <w:r>
        <w:rPr>
          <w:rFonts w:ascii="仿宋_GB2312" w:eastAsia="仿宋_GB2312"/>
          <w:sz w:val="32"/>
          <w:szCs w:val="32"/>
        </w:rPr>
        <w:t>1,297.76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w:t>
      </w:r>
      <w:bookmarkStart w:id="48" w:name="_GoBack"/>
      <w:bookmarkEnd w:id="48"/>
      <w:r>
        <w:rPr>
          <w:rFonts w:hint="eastAsia" w:ascii="仿宋_GB2312" w:eastAsia="仿宋_GB2312"/>
          <w:sz w:val="32"/>
          <w:szCs w:val="32"/>
        </w:rPr>
        <w:t>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878"/>
        <w:gridCol w:w="816"/>
        <w:gridCol w:w="1675"/>
        <w:gridCol w:w="1389"/>
        <w:gridCol w:w="1442"/>
        <w:gridCol w:w="854"/>
        <w:gridCol w:w="709"/>
        <w:gridCol w:w="759"/>
      </w:tblGrid>
      <w:tr>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CellMar>
            <w:top w:w="0" w:type="dxa"/>
            <w:left w:w="108" w:type="dxa"/>
            <w:bottom w:w="0" w:type="dxa"/>
            <w:right w:w="108" w:type="dxa"/>
          </w:tblCellMar>
        </w:tblPrEx>
        <w:trPr>
          <w:trHeight w:val="660"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644"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木垒县环境保护局</w:t>
            </w:r>
          </w:p>
        </w:tc>
      </w:tr>
      <w:tr>
        <w:tblPrEx>
          <w:tblCellMar>
            <w:top w:w="0" w:type="dxa"/>
            <w:left w:w="108" w:type="dxa"/>
            <w:bottom w:w="0" w:type="dxa"/>
            <w:right w:w="108" w:type="dxa"/>
          </w:tblCellMar>
        </w:tblPrEx>
        <w:trPr>
          <w:trHeight w:val="570"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982.80</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982.80</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151.33</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151.33</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161.09</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163.63</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163.63</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r>
      <w:tr>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rPr>
              <w:t>-</w:t>
            </w:r>
          </w:p>
        </w:tc>
      </w:tr>
      <w:tr>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161.09</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1,297.76</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1,297.76</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CellMar>
            <w:top w:w="0" w:type="dxa"/>
            <w:left w:w="108" w:type="dxa"/>
            <w:bottom w:w="0" w:type="dxa"/>
            <w:right w:w="108" w:type="dxa"/>
          </w:tblCellMar>
        </w:tblPrEx>
        <w:trPr>
          <w:trHeight w:val="705"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88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64"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CellMar>
            <w:top w:w="0" w:type="dxa"/>
            <w:left w:w="108" w:type="dxa"/>
            <w:bottom w:w="0" w:type="dxa"/>
            <w:right w:w="108" w:type="dxa"/>
          </w:tblCellMar>
        </w:tblPrEx>
        <w:trPr>
          <w:trHeight w:val="200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8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开展“六五环境日”专场宣讲1场次、“五进”宣教10场次，组织企业开展法律法规培训4次；扎实推进冬季大气污染综合治理，全面完成65蒸吨以下燃煤锅炉淘汰整治58台，环境空气质量优良率保持97%以上,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c>
          <w:tcPr>
            <w:tcW w:w="376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办公人员数量11人，公务保障用车数量1辆，环境应急演练数量1次。开展“六五环境日”专场宣讲1场次、“五进”宣教10场次，组织企业开展法律法规培训4次；扎实推进冬季大气污染综合治理，全面完成65蒸吨以下燃煤锅炉淘汰整治58台，环境空气质量优良率保持97%以上,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r>
      <w:tr>
        <w:tblPrEx>
          <w:tblCellMar>
            <w:top w:w="0" w:type="dxa"/>
            <w:left w:w="108" w:type="dxa"/>
            <w:bottom w:w="0" w:type="dxa"/>
            <w:right w:w="108" w:type="dxa"/>
          </w:tblCellMar>
        </w:tblPrEx>
        <w:trPr>
          <w:trHeight w:val="579"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CellMar>
            <w:top w:w="0" w:type="dxa"/>
            <w:left w:w="108" w:type="dxa"/>
            <w:bottom w:w="0" w:type="dxa"/>
            <w:right w:w="108" w:type="dxa"/>
          </w:tblCellMar>
        </w:tblPrEx>
        <w:trPr>
          <w:trHeight w:val="741"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≥11人</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昌吉回族自治州生态环境局职能配置、内设机构和人员编制规定</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11人</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昌吉回族自治州生态环境局职能配置、内设机构和人员编制规定</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空气质量综合指数</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65蒸吨以下燃煤锅炉淘汰整治数量</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≥58台</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88台</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水环境质量考核目标和减排指标完成率</w:t>
            </w:r>
          </w:p>
        </w:tc>
        <w:tc>
          <w:tcPr>
            <w:tcW w:w="13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环境空气质量优良率</w:t>
            </w:r>
          </w:p>
        </w:tc>
        <w:tc>
          <w:tcPr>
            <w:tcW w:w="13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≥97%</w:t>
            </w:r>
          </w:p>
        </w:tc>
        <w:tc>
          <w:tcPr>
            <w:tcW w:w="144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99%</w:t>
            </w:r>
          </w:p>
        </w:tc>
        <w:tc>
          <w:tcPr>
            <w:tcW w:w="7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风险源企业突发环境事件应急预案备案率</w:t>
            </w:r>
          </w:p>
        </w:tc>
        <w:tc>
          <w:tcPr>
            <w:tcW w:w="13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环境应急演练数量</w:t>
            </w:r>
          </w:p>
        </w:tc>
        <w:tc>
          <w:tcPr>
            <w:tcW w:w="13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144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7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41"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67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3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42"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252391"/>
    <w:rsid w:val="000A620E"/>
    <w:rsid w:val="000C4B51"/>
    <w:rsid w:val="001C5FF4"/>
    <w:rsid w:val="00213C59"/>
    <w:rsid w:val="00231588"/>
    <w:rsid w:val="00252391"/>
    <w:rsid w:val="002A4106"/>
    <w:rsid w:val="003210CE"/>
    <w:rsid w:val="0054531C"/>
    <w:rsid w:val="00581E1F"/>
    <w:rsid w:val="008D62E4"/>
    <w:rsid w:val="009034A6"/>
    <w:rsid w:val="009C6532"/>
    <w:rsid w:val="00AE63DB"/>
    <w:rsid w:val="00B70D59"/>
    <w:rsid w:val="00C221DF"/>
    <w:rsid w:val="00C7534F"/>
    <w:rsid w:val="00D41CA9"/>
    <w:rsid w:val="00D62590"/>
    <w:rsid w:val="00E00149"/>
    <w:rsid w:val="00E00B71"/>
    <w:rsid w:val="00E02D29"/>
    <w:rsid w:val="00ED686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D2782D"/>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6586</Words>
  <Characters>7462</Characters>
  <Lines>61</Lines>
  <Paragraphs>17</Paragraphs>
  <TotalTime>203</TotalTime>
  <ScaleCrop>false</ScaleCrop>
  <LinksUpToDate>false</LinksUpToDate>
  <CharactersWithSpaces>7510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2024-09-02T07:46:33Z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